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170"/>
        <w:jc w:val="right"/>
        <w:spacing w:after="0" w:line="240" w:lineRule="auto"/>
        <w:widowControl w:val="off"/>
        <w:tabs>
          <w:tab w:val="left" w:pos="5245" w:leader="none"/>
          <w:tab w:val="left" w:pos="5387" w:leader="none"/>
          <w:tab w:val="left" w:pos="5529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5170"/>
        <w:jc w:val="right"/>
        <w:spacing w:after="0" w:line="240" w:lineRule="auto"/>
        <w:widowControl w:val="off"/>
        <w:tabs>
          <w:tab w:val="left" w:pos="5245" w:leader="none"/>
          <w:tab w:val="left" w:pos="5387" w:leader="none"/>
          <w:tab w:val="left" w:pos="5529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ПАСПОРТ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государственной программы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«Развитие системы образования Оренбургской области»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740"/>
        <w:tblW w:w="9560" w:type="dxa"/>
        <w:tblInd w:w="-209" w:type="dxa"/>
        <w:tblLayout w:type="fixed"/>
        <w:tblLook w:val="04A0" w:firstRow="1" w:lastRow="0" w:firstColumn="1" w:lastColumn="0" w:noHBand="0" w:noVBand="1"/>
      </w:tblPr>
      <w:tblGrid>
        <w:gridCol w:w="3465"/>
        <w:gridCol w:w="6095"/>
      </w:tblGrid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pStyle w:val="739"/>
              <w:ind w:right="845"/>
              <w:jc w:val="both"/>
              <w:spacing w:before="4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Ответственный исполнитель государственной программы</w:t>
            </w:r>
            <w:r>
              <w:rPr>
                <w:sz w:val="28"/>
                <w:szCs w:val="28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pStyle w:val="739"/>
              <w:spacing w:before="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образования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Оренбургской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 xml:space="preserve">области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pStyle w:val="739"/>
              <w:ind w:right="845"/>
              <w:spacing w:before="44" w:line="235" w:lineRule="auto"/>
              <w:rPr>
                <w:strike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</w:t>
            </w:r>
            <w:r>
              <w:rPr>
                <w:spacing w:val="-1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реализации </w:t>
            </w:r>
            <w:r>
              <w:rPr>
                <w:spacing w:val="-2"/>
                <w:sz w:val="28"/>
                <w:szCs w:val="28"/>
              </w:rPr>
              <w:t xml:space="preserve">государственной программы</w:t>
            </w:r>
            <w:r>
              <w:rPr>
                <w:strike/>
                <w:sz w:val="28"/>
                <w:szCs w:val="28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pStyle w:val="739"/>
              <w:spacing w:before="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– 2030 </w:t>
            </w:r>
            <w:r>
              <w:rPr>
                <w:spacing w:val="-4"/>
                <w:sz w:val="28"/>
                <w:szCs w:val="28"/>
              </w:rPr>
              <w:t xml:space="preserve">годы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pStyle w:val="739"/>
              <w:ind w:right="845"/>
              <w:spacing w:before="44"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(цели) </w:t>
            </w:r>
            <w:r>
              <w:rPr>
                <w:spacing w:val="-2"/>
                <w:sz w:val="28"/>
                <w:szCs w:val="28"/>
              </w:rPr>
              <w:t xml:space="preserve">государственной программы</w:t>
            </w:r>
            <w:r>
              <w:rPr>
                <w:sz w:val="28"/>
                <w:szCs w:val="28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pStyle w:val="739"/>
              <w:spacing w:before="44"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внедрение современной модели образования, обеспечивающей доступность качественного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образования,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соответствующего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требованиям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инновационного социально ориентированного развития Оренбургской области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pStyle w:val="739"/>
              <w:spacing w:before="42" w:line="251" w:lineRule="exact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Направления</w:t>
            </w:r>
            <w:r>
              <w:rPr>
                <w:sz w:val="28"/>
                <w:szCs w:val="28"/>
              </w:rPr>
            </w:r>
          </w:p>
          <w:p>
            <w:pPr>
              <w:pStyle w:val="739"/>
              <w:spacing w:before="0" w:line="251" w:lineRule="exact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(подпрограммы)</w:t>
            </w:r>
            <w:r>
              <w:rPr>
                <w:sz w:val="28"/>
                <w:szCs w:val="28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pStyle w:val="739"/>
              <w:spacing w:before="42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 xml:space="preserve">–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pStyle w:val="739"/>
              <w:ind w:right="845"/>
              <w:spacing w:before="44" w:line="235" w:lineRule="auto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Показатели государственной программы</w:t>
            </w:r>
            <w:r>
              <w:rPr>
                <w:sz w:val="28"/>
                <w:szCs w:val="28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удельный вес численности выпускников, трудоустроившихся в течение календарного года, следующего за годом выпуска, в общей численности выпускников образовательных организаций, обучавшихся по образовательным</w:t>
            </w: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программам</w:t>
            </w: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среднего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профессионального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образования;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доступность дошкольного образования (отношение численности детей в возрасте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месяцев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лет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(включительно),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получающих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дошкольное образование в текущем году, к сумме численности детей в возрасте от 2 месяцев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лет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включительно),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получающих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дошкольное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образование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 текущем году, и численности детей в возрасте от 2 месяцев до 7 лет (включительно), находящихся в очереди на получение в текущем году дошкольного образования);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удельный вес численности обучающихся в общеобразовательных организациях в соответствии с федеральными государственными образовательными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стандартами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общей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численности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 образовательных организациях общего образования;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удельный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вес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воспитанников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областных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детских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домов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детей-сирот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 детей, оставшихся без попечения родителей, и коррекционных общеобразовательных организаций для детей с ограниченными возможностями здоровья, обеспеченных комфортными условиями для обучения и проживания, в общей численности воспитанников;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численность молодых людей в возрасте 14 – 35 лет, участвующих в молодежных семинарах, акциях, фестивалях, слетах, в общей численности молодых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людей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возрасте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35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лет,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исключением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численности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молодых людей, участвующих в молодежных семинарах, акциях, фестивалях, слетах патриотической направленности;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плана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проведения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обязательных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профилактических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визитов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 осуществлении федерального государственного контроля (надзора) в сфере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образования;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организаций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отдыха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оздоровления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детей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(всех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типов)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включенных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 мероприятия оздоровительной кампании;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доступность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дошкольного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образования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детей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возрасте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1,5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года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лет;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доступность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дошкольного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образования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детей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возрасте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лет;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выпускников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образовательных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организаций,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реализующих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программы среднего профессионального образования, занятых по виду деятельности и полученным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компетенциям;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образовательных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организаций,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реализующих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программы среднего профессионального образования, прошедших демонстрационный экзамен профильного уровня;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численность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граждан,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охваченных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деятельностью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Центров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опережающей профессиональной подготовки;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количество образовательных организаций, в которых реализуются основные общеобразовательные программы, за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исключением образовательных программ дошкольного образования, образовательные программы дополнительного образования и образовательные программы среднего профессионального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образования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сфере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беспилотных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авиационных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систем,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 том числе с использованием электронного обучения и (или) дистанционных образовательных технологий;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 педагогических работников общеобразовательных организаций, прошедших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повышение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квалификации,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том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числе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центрах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непрерывного повышения профессионального мастерства;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детей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возрасте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лет,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охваченных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дополнительным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образованием;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количество субъектов Российской Федерации, выдающих сертификаты дополнительного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образования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рамках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системы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персонифицированного финансирования дополнительного образования детей;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 обучающихся по образовательным программам основного и среднего общего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образования,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охваченных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мероприятиями,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направленными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раннюю профессиональную ориентацию, в том числе в рамках программы «Билет в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будущее»;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охват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детей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деятельностью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региональных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центров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выявления,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поддержки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 развития способностей и талантов у детей и молодежи, технопарков «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Кванториум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 центров «IТ-куб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общеобразовательных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организаций,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оснащенных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целях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внедрения цифровой образовательной среды;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обучающихся,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которых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созданы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равные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условия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получения качественного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образования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вне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зависимости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места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их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нахождения посредством предоставления доступа к федеральной информационно-сервисной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платформе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цифровой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образовательной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среды;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 педагогических работников, использующих сервисы федеральной информационно-сервисной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платформы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цифровой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образовательной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среды;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 образовательных организаций, использующих сервисы федеральной информационно-сервисной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платформы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цифровой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образовательной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среды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 реализации основных общеобразовательных программ начального общего, основного общего и среднего общего образования;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доступность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дошкольного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образования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детей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возрасте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1,5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года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лет;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количество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дополнительно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созданных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мест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целью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обеспечения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дошкольным образованием детей в возрасте до 3 лет нарастающим итогом;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количество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созданных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(реконструированных)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капитально отремонтированных объектов организаций культуры;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количество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организаций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культуры,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получивших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современное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оборудование;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количество онлайн-трансляций мероприятий, проводимых в Оренбургской области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размещаемых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портале</w:t>
            </w:r>
            <w:r>
              <w:rPr>
                <w:rFonts w:ascii="Times New Roman" w:hAnsi="Times New Roman" w:eastAsia="Times New Roman" w:cs="Times New Roman"/>
                <w:color w:val="0f6bbf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Культура.РФ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(единиц)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(нарастающим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итогом);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общая численность граждан Российской Федерации, вовлеченных центрами (сообществами,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объединениями)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поддержки</w:t>
            </w: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добровольчества</w:t>
            </w: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волонтерства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граждан,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вовлеченных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центрами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(сообществами,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объединениями) поддержки добровольчества (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волонтерства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) на базе образовательных организаций, некоммерческих организаций, государственных и муниципальных учреждений в добровольческую (волонтерскую)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деятельность;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количество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объектов,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которых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выполнены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мероприятия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капитальному ремонту общеобразовательных организаций и их оснащению средствами обучения и воспитания в полном объеме;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количество объектов капитального ремонта, в которых обеспечено</w:t>
            </w:r>
            <w:r>
              <w:rPr>
                <w:rFonts w:ascii="Times New Roman" w:hAnsi="Times New Roman" w:eastAsia="Times New Roman" w:cs="Times New Roman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повышение квалификационной/профессиональной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переподготовки учителей и/или обучение управленческих команд, состоящих из представителей администраций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педагогических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работников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объектов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капитального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ремонта;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количество объектов капитального ремонта, в которых обновлены 100 процентов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учебников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учебных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пособий,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не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позволяющих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их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дальнейшее использование в образовательном процессе по причинам ветхости и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дефектности;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детей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возрасте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лет,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охваченных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услугами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дополнительного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образования;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детей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молодежи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возрасте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35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лет,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которых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выявлены выдающиеся способности и таланты;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занятых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выпускников,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прошедших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обучение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программам «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Профессионалитета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»;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 обучающихся 6–11 классов, охваченных комплексом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профориентационных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мероприятий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рамках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Единой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модели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профориентации;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образовательных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организаций,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реализующих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программы среднего профессионального образования, прошедших демонстрационный экзамен профильного уровня;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молодых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людей,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вовлеченных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мероприятия,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направленные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 профессиональное развитие;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охват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молодежи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мероприятиями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проводимыми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базе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инфраструктуры молодежной политики;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молодых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людей,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участвующих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проектах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программах,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направленных на патриотическое воспитание;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духовно-нравственных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ценностей,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том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числе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проекты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программы, направленные на патриотическое воспитание, в добровольческую и общественную деятельность;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3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доля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государственных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муниципальных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общеобразовательных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организаций, в которых созданы кадровые условия для воспитания подрастающего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 xml:space="preserve">поколения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pStyle w:val="739"/>
              <w:ind w:right="30"/>
              <w:spacing w:before="44"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бюджетных </w:t>
            </w:r>
            <w:r>
              <w:rPr>
                <w:spacing w:val="-2"/>
                <w:sz w:val="28"/>
                <w:szCs w:val="28"/>
              </w:rPr>
              <w:t xml:space="preserve">ассигнований государственной </w:t>
            </w:r>
            <w:r>
              <w:rPr>
                <w:sz w:val="28"/>
                <w:szCs w:val="28"/>
              </w:rPr>
              <w:t xml:space="preserve">программы,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том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числе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годам реализации</w:t>
            </w:r>
            <w:r>
              <w:rPr>
                <w:sz w:val="28"/>
                <w:szCs w:val="28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pStyle w:val="739"/>
              <w:ind w:right="1316"/>
              <w:spacing w:before="42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323 097 136,0 </w:t>
            </w:r>
            <w:r>
              <w:rPr>
                <w:sz w:val="28"/>
                <w:szCs w:val="28"/>
              </w:rPr>
              <w:t xml:space="preserve">тыс.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рублей,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том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числе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годам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реализации: </w:t>
            </w:r>
            <w:r>
              <w:rPr>
                <w:sz w:val="28"/>
                <w:szCs w:val="28"/>
              </w:rPr>
            </w:r>
          </w:p>
          <w:p>
            <w:pPr>
              <w:pStyle w:val="739"/>
              <w:ind w:right="1316"/>
              <w:spacing w:before="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34 518 679,0 тыс. рублей;</w:t>
            </w:r>
            <w:r>
              <w:rPr>
                <w:sz w:val="28"/>
                <w:szCs w:val="28"/>
              </w:rPr>
            </w:r>
          </w:p>
          <w:p>
            <w:pPr>
              <w:pStyle w:val="739"/>
              <w:spacing w:befor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40 547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262,4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spacing w:val="-2"/>
                <w:sz w:val="28"/>
                <w:szCs w:val="28"/>
              </w:rPr>
              <w:t xml:space="preserve">рублей;</w:t>
            </w:r>
            <w:r>
              <w:rPr>
                <w:sz w:val="28"/>
                <w:szCs w:val="28"/>
              </w:rPr>
            </w:r>
          </w:p>
          <w:p>
            <w:pPr>
              <w:pStyle w:val="739"/>
              <w:spacing w:before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</w:t>
            </w:r>
            <w:r>
              <w:rPr>
                <w:spacing w:val="-2"/>
                <w:sz w:val="28"/>
                <w:szCs w:val="28"/>
              </w:rPr>
              <w:t xml:space="preserve"> –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43 430 360,2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spacing w:val="-2"/>
                <w:sz w:val="28"/>
                <w:szCs w:val="28"/>
              </w:rPr>
              <w:t xml:space="preserve">рублей;</w:t>
            </w:r>
            <w:r>
              <w:rPr>
                <w:sz w:val="28"/>
                <w:szCs w:val="28"/>
              </w:rPr>
            </w:r>
          </w:p>
          <w:p>
            <w:pPr>
              <w:pStyle w:val="739"/>
              <w:spacing w:before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</w:t>
            </w:r>
            <w:r>
              <w:rPr>
                <w:spacing w:val="-1"/>
                <w:sz w:val="28"/>
                <w:szCs w:val="28"/>
              </w:rPr>
              <w:t xml:space="preserve"> 42 354 555,8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spacing w:val="-2"/>
                <w:sz w:val="28"/>
                <w:szCs w:val="28"/>
              </w:rPr>
              <w:t xml:space="preserve">рублей;</w:t>
            </w:r>
            <w:r>
              <w:rPr>
                <w:sz w:val="28"/>
                <w:szCs w:val="28"/>
              </w:rPr>
            </w:r>
          </w:p>
          <w:p>
            <w:pPr>
              <w:pStyle w:val="739"/>
              <w:spacing w:before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</w:t>
            </w:r>
            <w:r>
              <w:rPr>
                <w:spacing w:val="-1"/>
                <w:sz w:val="28"/>
                <w:szCs w:val="28"/>
              </w:rPr>
              <w:t xml:space="preserve"> 43 833 342,2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spacing w:val="-2"/>
                <w:sz w:val="28"/>
                <w:szCs w:val="28"/>
              </w:rPr>
              <w:t xml:space="preserve">рублей;</w:t>
            </w:r>
            <w:r>
              <w:rPr>
                <w:sz w:val="28"/>
                <w:szCs w:val="28"/>
              </w:rPr>
            </w:r>
          </w:p>
          <w:p>
            <w:pPr>
              <w:pStyle w:val="739"/>
              <w:spacing w:before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</w:t>
            </w:r>
            <w:r>
              <w:rPr>
                <w:spacing w:val="-1"/>
                <w:sz w:val="28"/>
                <w:szCs w:val="28"/>
              </w:rPr>
              <w:t xml:space="preserve"> 39 470 978,8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spacing w:val="-2"/>
                <w:sz w:val="28"/>
                <w:szCs w:val="28"/>
              </w:rPr>
              <w:t xml:space="preserve">рублей;</w:t>
            </w:r>
            <w:r>
              <w:rPr>
                <w:sz w:val="28"/>
                <w:szCs w:val="28"/>
              </w:rPr>
            </w:r>
          </w:p>
          <w:p>
            <w:pPr>
              <w:pStyle w:val="739"/>
              <w:spacing w:before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</w:t>
            </w:r>
            <w:r>
              <w:rPr>
                <w:spacing w:val="-1"/>
                <w:sz w:val="28"/>
                <w:szCs w:val="28"/>
              </w:rPr>
              <w:t xml:space="preserve"> 39 470 978,8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spacing w:val="-2"/>
                <w:sz w:val="28"/>
                <w:szCs w:val="28"/>
              </w:rPr>
              <w:t xml:space="preserve">рублей;</w:t>
            </w:r>
            <w:r>
              <w:rPr>
                <w:sz w:val="28"/>
                <w:szCs w:val="28"/>
              </w:rPr>
            </w:r>
          </w:p>
          <w:p>
            <w:pPr>
              <w:pStyle w:val="739"/>
              <w:spacing w:before="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</w:t>
            </w:r>
            <w:r>
              <w:rPr>
                <w:spacing w:val="-1"/>
                <w:sz w:val="28"/>
                <w:szCs w:val="28"/>
              </w:rPr>
              <w:t xml:space="preserve"> 39 470 978,8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spacing w:val="-2"/>
                <w:sz w:val="28"/>
                <w:szCs w:val="28"/>
              </w:rPr>
              <w:t xml:space="preserve">рублей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pStyle w:val="739"/>
              <w:ind w:right="695"/>
              <w:spacing w:before="0"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Влияние</w:t>
            </w:r>
            <w:r>
              <w:rPr>
                <w:spacing w:val="-1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</w:t>
            </w:r>
            <w:r>
              <w:rPr>
                <w:spacing w:val="-1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достижение национальных целей развития</w:t>
            </w:r>
            <w:r>
              <w:rPr>
                <w:spacing w:val="-1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Российской </w:t>
            </w:r>
            <w:r>
              <w:rPr>
                <w:spacing w:val="-2"/>
                <w:sz w:val="28"/>
                <w:szCs w:val="28"/>
              </w:rPr>
              <w:t xml:space="preserve">Федерации</w:t>
            </w:r>
            <w:r>
              <w:rPr>
                <w:sz w:val="28"/>
                <w:szCs w:val="28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pStyle w:val="739"/>
              <w:contextualSpacing/>
              <w:ind w:left="85" w:right="45"/>
              <w:spacing w:before="0"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возможности для самореализации и развития талантов: формирование эффективной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системы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выявления,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поддержки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развития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способностей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талантов у детей и </w:t>
            </w:r>
            <w:r>
              <w:rPr>
                <w:sz w:val="28"/>
                <w:szCs w:val="28"/>
              </w:rPr>
              <w:t xml:space="preserve">молодежи, основанной на принципах справедливости, всеобщности и направленной на самоопределение и профессиональную ориентацию всех обучающихся/увеличение доли граждан, занимающихся волонтерской (добровольческой) деятельностью или вовлеченных в деятельность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волонтерских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(добровольческих)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организаций,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15,0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процента; </w:t>
            </w:r>
            <w:r>
              <w:rPr>
                <w:sz w:val="28"/>
                <w:szCs w:val="28"/>
              </w:rPr>
            </w:r>
          </w:p>
          <w:p>
            <w:pPr>
              <w:pStyle w:val="739"/>
              <w:contextualSpacing/>
              <w:ind w:left="85" w:right="45"/>
              <w:spacing w:before="0"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сохранение населения, укрепление здоровья и повышение благополучия людей, поддержка семьи:</w:t>
            </w:r>
            <w:r>
              <w:rPr>
                <w:sz w:val="28"/>
                <w:szCs w:val="28"/>
              </w:rPr>
            </w:r>
          </w:p>
          <w:p>
            <w:pPr>
              <w:pStyle w:val="739"/>
              <w:contextualSpacing/>
              <w:ind w:left="85"/>
              <w:spacing w:before="43"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2030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году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уровня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удовлетворенности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граждан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условиями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для занятий физической культурой и спортом;</w:t>
            </w:r>
            <w:r>
              <w:rPr>
                <w:sz w:val="28"/>
                <w:szCs w:val="28"/>
              </w:rPr>
            </w:r>
          </w:p>
          <w:p>
            <w:pPr>
              <w:pStyle w:val="739"/>
              <w:contextualSpacing/>
              <w:ind w:left="85"/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потенциала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каждого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человека,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развитие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его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талантов,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воспитание патриотичной и социально ответственной личности:</w:t>
            </w:r>
            <w:r>
              <w:rPr>
                <w:sz w:val="28"/>
                <w:szCs w:val="28"/>
              </w:rPr>
            </w:r>
          </w:p>
          <w:p>
            <w:pPr>
              <w:pStyle w:val="739"/>
              <w:contextualSpacing/>
              <w:ind w:left="85"/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к 2030 году доли молодых людей, участвующих в проектах и программах, направленных на профессион</w:t>
            </w:r>
            <w:r>
              <w:rPr>
                <w:sz w:val="28"/>
                <w:szCs w:val="28"/>
              </w:rPr>
              <w:t xml:space="preserve">альное, личностное развитие и патриотическое воспитание, не менее чем до 75 процентов/формирование к 2030 году современной системы профессионального развития педагогических работников для всех уровней образования, предусматривающей ежегодное дополнительное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профессиональное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образование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основе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актуализированных </w:t>
            </w:r>
            <w:r>
              <w:rPr>
                <w:sz w:val="28"/>
                <w:szCs w:val="28"/>
              </w:rPr>
              <w:t xml:space="preserve">профессиональных стандартов не менее чем 10 процентов педагогических работников на базе ведущих образовательных организаций высшего образования и научных организаций;</w:t>
            </w:r>
            <w:r>
              <w:rPr>
                <w:sz w:val="28"/>
                <w:szCs w:val="28"/>
              </w:rPr>
            </w:r>
          </w:p>
          <w:p>
            <w:pPr>
              <w:pStyle w:val="739"/>
              <w:contextualSpacing/>
              <w:ind w:left="85"/>
              <w:spacing w:before="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комфортная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безопасная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среда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для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 xml:space="preserve">жизни:</w:t>
            </w:r>
            <w:r>
              <w:rPr>
                <w:sz w:val="28"/>
                <w:szCs w:val="28"/>
              </w:rPr>
            </w:r>
          </w:p>
          <w:p>
            <w:pPr>
              <w:pStyle w:val="739"/>
              <w:contextualSpacing/>
              <w:ind w:left="85"/>
              <w:spacing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завершение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конца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2030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года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капитального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ремонта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зданий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дошкольных образовательных организаций, признанных нуждающимися в проведении такого ремонта по состоянию на 1</w:t>
            </w:r>
            <w:r>
              <w:rPr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  <w:t xml:space="preserve">января 2025 года</w:t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pStyle w:val="739"/>
              <w:ind w:right="542"/>
              <w:spacing w:before="44" w:line="23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Связь с иными </w:t>
            </w:r>
            <w:r>
              <w:rPr>
                <w:spacing w:val="-2"/>
                <w:sz w:val="28"/>
                <w:szCs w:val="28"/>
              </w:rPr>
              <w:t xml:space="preserve">государственными программами </w:t>
            </w:r>
            <w:r>
              <w:rPr>
                <w:sz w:val="28"/>
                <w:szCs w:val="28"/>
              </w:rPr>
              <w:t xml:space="preserve">Оренбургской</w:t>
            </w:r>
            <w:r>
              <w:rPr>
                <w:spacing w:val="-1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области</w:t>
            </w:r>
            <w:r>
              <w:rPr>
                <w:sz w:val="28"/>
                <w:szCs w:val="28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осударственная программа «Развитие культуры Оренбургской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Noto Sans Devanagari">
    <w:panose1 w:val="020B05020405040202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502434645"/>
      <w:docPartObj>
        <w:docPartGallery w:val="Page Numbers (Top of Page)"/>
        <w:docPartUnique w:val="true"/>
      </w:docPartObj>
      <w:rPr/>
    </w:sdtPr>
    <w:sdtContent>
      <w:p>
        <w:pPr>
          <w:pStyle w:val="72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7</w:t>
        </w:r>
        <w:r>
          <w:fldChar w:fldCharType="end"/>
        </w:r>
        <w:r/>
      </w:p>
    </w:sdtContent>
  </w:sdt>
  <w:p>
    <w:pPr>
      <w:pStyle w:val="722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87"/>
    <w:link w:val="67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87"/>
    <w:link w:val="67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87"/>
    <w:link w:val="68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87"/>
    <w:link w:val="681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87"/>
    <w:link w:val="682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87"/>
    <w:link w:val="683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87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87"/>
    <w:link w:val="685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87"/>
    <w:link w:val="686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87"/>
    <w:link w:val="713"/>
    <w:uiPriority w:val="10"/>
    <w:rPr>
      <w:sz w:val="48"/>
      <w:szCs w:val="48"/>
    </w:rPr>
  </w:style>
  <w:style w:type="character" w:styleId="37">
    <w:name w:val="Subtitle Char"/>
    <w:basedOn w:val="687"/>
    <w:link w:val="718"/>
    <w:uiPriority w:val="11"/>
    <w:rPr>
      <w:sz w:val="24"/>
      <w:szCs w:val="24"/>
    </w:rPr>
  </w:style>
  <w:style w:type="character" w:styleId="39">
    <w:name w:val="Quote Char"/>
    <w:link w:val="719"/>
    <w:uiPriority w:val="29"/>
    <w:rPr>
      <w:i/>
    </w:rPr>
  </w:style>
  <w:style w:type="character" w:styleId="41">
    <w:name w:val="Intense Quote Char"/>
    <w:link w:val="720"/>
    <w:uiPriority w:val="30"/>
    <w:rPr>
      <w:i/>
    </w:rPr>
  </w:style>
  <w:style w:type="character" w:styleId="43">
    <w:name w:val="Header Char"/>
    <w:basedOn w:val="687"/>
    <w:link w:val="722"/>
    <w:uiPriority w:val="99"/>
  </w:style>
  <w:style w:type="character" w:styleId="45">
    <w:name w:val="Footer Char"/>
    <w:basedOn w:val="687"/>
    <w:link w:val="723"/>
    <w:uiPriority w:val="99"/>
  </w:style>
  <w:style w:type="character" w:styleId="47">
    <w:name w:val="Caption Char"/>
    <w:basedOn w:val="716"/>
    <w:link w:val="723"/>
    <w:uiPriority w:val="99"/>
  </w:style>
  <w:style w:type="character" w:styleId="176">
    <w:name w:val="Footnote Text Char"/>
    <w:link w:val="724"/>
    <w:uiPriority w:val="99"/>
    <w:rPr>
      <w:sz w:val="18"/>
    </w:rPr>
  </w:style>
  <w:style w:type="character" w:styleId="179">
    <w:name w:val="Endnote Text Char"/>
    <w:link w:val="725"/>
    <w:uiPriority w:val="99"/>
    <w:rPr>
      <w:sz w:val="20"/>
    </w:rPr>
  </w:style>
  <w:style w:type="paragraph" w:styleId="677" w:default="1">
    <w:name w:val="Normal"/>
    <w:qFormat/>
    <w:pPr>
      <w:spacing w:after="200" w:line="276" w:lineRule="auto"/>
    </w:pPr>
  </w:style>
  <w:style w:type="paragraph" w:styleId="678">
    <w:name w:val="Heading 1"/>
    <w:basedOn w:val="677"/>
    <w:next w:val="677"/>
    <w:link w:val="690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9">
    <w:name w:val="Heading 2"/>
    <w:basedOn w:val="677"/>
    <w:next w:val="677"/>
    <w:link w:val="69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0">
    <w:name w:val="Heading 3"/>
    <w:basedOn w:val="677"/>
    <w:next w:val="677"/>
    <w:link w:val="69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1">
    <w:name w:val="Heading 4"/>
    <w:basedOn w:val="677"/>
    <w:next w:val="677"/>
    <w:link w:val="69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677"/>
    <w:next w:val="677"/>
    <w:link w:val="69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677"/>
    <w:next w:val="677"/>
    <w:link w:val="69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4">
    <w:name w:val="Heading 7"/>
    <w:basedOn w:val="677"/>
    <w:next w:val="677"/>
    <w:link w:val="69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5">
    <w:name w:val="Heading 8"/>
    <w:basedOn w:val="677"/>
    <w:next w:val="677"/>
    <w:link w:val="69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6">
    <w:name w:val="Heading 9"/>
    <w:basedOn w:val="677"/>
    <w:next w:val="677"/>
    <w:link w:val="69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 w:default="1">
    <w:name w:val="Default Paragraph Font"/>
    <w:uiPriority w:val="1"/>
    <w:semiHidden/>
    <w:unhideWhenUsed/>
  </w:style>
  <w:style w:type="table" w:styleId="6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9" w:default="1">
    <w:name w:val="No List"/>
    <w:uiPriority w:val="99"/>
    <w:semiHidden/>
    <w:unhideWhenUsed/>
  </w:style>
  <w:style w:type="character" w:styleId="690" w:customStyle="1">
    <w:name w:val="Заголовок 1 Знак"/>
    <w:link w:val="678"/>
    <w:uiPriority w:val="9"/>
    <w:qFormat/>
    <w:rPr>
      <w:rFonts w:ascii="Arial" w:hAnsi="Arial" w:eastAsia="Arial" w:cs="Arial"/>
      <w:sz w:val="40"/>
      <w:szCs w:val="40"/>
    </w:rPr>
  </w:style>
  <w:style w:type="character" w:styleId="691" w:customStyle="1">
    <w:name w:val="Заголовок 2 Знак"/>
    <w:link w:val="679"/>
    <w:uiPriority w:val="9"/>
    <w:qFormat/>
    <w:rPr>
      <w:rFonts w:ascii="Arial" w:hAnsi="Arial" w:eastAsia="Arial" w:cs="Arial"/>
      <w:sz w:val="34"/>
    </w:rPr>
  </w:style>
  <w:style w:type="character" w:styleId="692" w:customStyle="1">
    <w:name w:val="Заголовок 3 Знак"/>
    <w:link w:val="680"/>
    <w:uiPriority w:val="9"/>
    <w:qFormat/>
    <w:rPr>
      <w:rFonts w:ascii="Arial" w:hAnsi="Arial" w:eastAsia="Arial" w:cs="Arial"/>
      <w:sz w:val="30"/>
      <w:szCs w:val="30"/>
    </w:rPr>
  </w:style>
  <w:style w:type="character" w:styleId="693" w:customStyle="1">
    <w:name w:val="Заголовок 4 Знак"/>
    <w:link w:val="68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94" w:customStyle="1">
    <w:name w:val="Заголовок 5 Знак"/>
    <w:link w:val="682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95" w:customStyle="1">
    <w:name w:val="Заголовок 6 Знак"/>
    <w:link w:val="683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96" w:customStyle="1">
    <w:name w:val="Заголовок 7 Знак"/>
    <w:link w:val="68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97" w:customStyle="1">
    <w:name w:val="Заголовок 8 Знак"/>
    <w:link w:val="68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8" w:customStyle="1">
    <w:name w:val="Заголовок 9 Знак"/>
    <w:link w:val="686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9" w:customStyle="1">
    <w:name w:val="Заголовок Знак"/>
    <w:link w:val="713"/>
    <w:uiPriority w:val="10"/>
    <w:qFormat/>
    <w:rPr>
      <w:sz w:val="48"/>
      <w:szCs w:val="48"/>
    </w:rPr>
  </w:style>
  <w:style w:type="character" w:styleId="700" w:customStyle="1">
    <w:name w:val="Подзаголовок Знак"/>
    <w:link w:val="718"/>
    <w:uiPriority w:val="11"/>
    <w:qFormat/>
    <w:rPr>
      <w:sz w:val="24"/>
      <w:szCs w:val="24"/>
    </w:rPr>
  </w:style>
  <w:style w:type="character" w:styleId="701" w:customStyle="1">
    <w:name w:val="Цитата 2 Знак"/>
    <w:link w:val="719"/>
    <w:uiPriority w:val="29"/>
    <w:qFormat/>
    <w:rPr>
      <w:i/>
    </w:rPr>
  </w:style>
  <w:style w:type="character" w:styleId="702" w:customStyle="1">
    <w:name w:val="Выделенная цитата Знак"/>
    <w:link w:val="720"/>
    <w:uiPriority w:val="30"/>
    <w:qFormat/>
    <w:rPr>
      <w:i/>
    </w:rPr>
  </w:style>
  <w:style w:type="character" w:styleId="703" w:customStyle="1">
    <w:name w:val="Верхний колонтитул Знак"/>
    <w:link w:val="722"/>
    <w:uiPriority w:val="99"/>
    <w:qFormat/>
  </w:style>
  <w:style w:type="character" w:styleId="704" w:customStyle="1">
    <w:name w:val="Нижний колонтитул Знак"/>
    <w:link w:val="723"/>
    <w:uiPriority w:val="99"/>
    <w:qFormat/>
  </w:style>
  <w:style w:type="character" w:styleId="705" w:customStyle="1">
    <w:name w:val="Название объекта Знак"/>
    <w:link w:val="716"/>
    <w:uiPriority w:val="35"/>
    <w:qFormat/>
    <w:rPr>
      <w:b/>
      <w:bCs/>
      <w:color w:val="5b9bd5" w:themeColor="accent1"/>
      <w:sz w:val="18"/>
      <w:szCs w:val="18"/>
    </w:rPr>
  </w:style>
  <w:style w:type="character" w:styleId="706">
    <w:name w:val="Hyperlink"/>
    <w:uiPriority w:val="99"/>
    <w:unhideWhenUsed/>
    <w:rPr>
      <w:color w:val="0563c1" w:themeColor="hyperlink"/>
      <w:u w:val="single"/>
    </w:rPr>
  </w:style>
  <w:style w:type="character" w:styleId="707" w:customStyle="1">
    <w:name w:val="Текст сноски Знак"/>
    <w:link w:val="724"/>
    <w:uiPriority w:val="99"/>
    <w:qFormat/>
    <w:rPr>
      <w:sz w:val="18"/>
    </w:rPr>
  </w:style>
  <w:style w:type="character" w:styleId="708" w:customStyle="1">
    <w:name w:val="Символ сноски"/>
    <w:uiPriority w:val="99"/>
    <w:unhideWhenUsed/>
    <w:qFormat/>
    <w:rPr>
      <w:vertAlign w:val="superscript"/>
    </w:rPr>
  </w:style>
  <w:style w:type="character" w:styleId="709">
    <w:name w:val="footnote reference"/>
    <w:rPr>
      <w:vertAlign w:val="superscript"/>
    </w:rPr>
  </w:style>
  <w:style w:type="character" w:styleId="710" w:customStyle="1">
    <w:name w:val="Текст концевой сноски Знак"/>
    <w:link w:val="725"/>
    <w:uiPriority w:val="99"/>
    <w:qFormat/>
    <w:rPr>
      <w:sz w:val="20"/>
    </w:rPr>
  </w:style>
  <w:style w:type="character" w:styleId="711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12">
    <w:name w:val="endnote reference"/>
    <w:rPr>
      <w:vertAlign w:val="superscript"/>
    </w:rPr>
  </w:style>
  <w:style w:type="paragraph" w:styleId="713">
    <w:name w:val="Title"/>
    <w:basedOn w:val="677"/>
    <w:next w:val="714"/>
    <w:link w:val="699"/>
    <w:uiPriority w:val="10"/>
    <w:qFormat/>
    <w:pPr>
      <w:contextualSpacing/>
      <w:spacing w:before="300"/>
    </w:pPr>
    <w:rPr>
      <w:sz w:val="48"/>
      <w:szCs w:val="48"/>
    </w:rPr>
  </w:style>
  <w:style w:type="paragraph" w:styleId="714">
    <w:name w:val="Body Text"/>
    <w:basedOn w:val="677"/>
    <w:pPr>
      <w:spacing w:after="140"/>
    </w:pPr>
  </w:style>
  <w:style w:type="paragraph" w:styleId="715">
    <w:name w:val="List"/>
    <w:basedOn w:val="714"/>
    <w:rPr>
      <w:rFonts w:ascii="PT Astra Serif" w:hAnsi="PT Astra Serif" w:cs="Noto Sans Devanagari"/>
    </w:rPr>
  </w:style>
  <w:style w:type="paragraph" w:styleId="716">
    <w:name w:val="Caption"/>
    <w:basedOn w:val="677"/>
    <w:next w:val="677"/>
    <w:link w:val="705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717">
    <w:name w:val="index heading"/>
    <w:basedOn w:val="713"/>
  </w:style>
  <w:style w:type="paragraph" w:styleId="718">
    <w:name w:val="Subtitle"/>
    <w:basedOn w:val="677"/>
    <w:next w:val="677"/>
    <w:link w:val="700"/>
    <w:uiPriority w:val="11"/>
    <w:qFormat/>
    <w:pPr>
      <w:spacing w:before="200"/>
    </w:pPr>
    <w:rPr>
      <w:sz w:val="24"/>
      <w:szCs w:val="24"/>
    </w:rPr>
  </w:style>
  <w:style w:type="paragraph" w:styleId="719">
    <w:name w:val="Quote"/>
    <w:basedOn w:val="677"/>
    <w:next w:val="677"/>
    <w:link w:val="701"/>
    <w:uiPriority w:val="29"/>
    <w:qFormat/>
    <w:pPr>
      <w:ind w:left="720" w:right="720"/>
    </w:pPr>
    <w:rPr>
      <w:i/>
    </w:rPr>
  </w:style>
  <w:style w:type="paragraph" w:styleId="720">
    <w:name w:val="Intense Quote"/>
    <w:basedOn w:val="677"/>
    <w:next w:val="677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21" w:customStyle="1">
    <w:name w:val="Колонтитул"/>
    <w:basedOn w:val="677"/>
    <w:qFormat/>
  </w:style>
  <w:style w:type="paragraph" w:styleId="722">
    <w:name w:val="Header"/>
    <w:basedOn w:val="677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23">
    <w:name w:val="Footer"/>
    <w:basedOn w:val="677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24">
    <w:name w:val="footnote text"/>
    <w:basedOn w:val="677"/>
    <w:link w:val="707"/>
    <w:uiPriority w:val="99"/>
    <w:semiHidden/>
    <w:unhideWhenUsed/>
    <w:pPr>
      <w:spacing w:after="40" w:line="240" w:lineRule="auto"/>
    </w:pPr>
    <w:rPr>
      <w:sz w:val="18"/>
    </w:rPr>
  </w:style>
  <w:style w:type="paragraph" w:styleId="725">
    <w:name w:val="endnote text"/>
    <w:basedOn w:val="677"/>
    <w:link w:val="710"/>
    <w:uiPriority w:val="99"/>
    <w:semiHidden/>
    <w:unhideWhenUsed/>
    <w:pPr>
      <w:spacing w:after="0" w:line="240" w:lineRule="auto"/>
    </w:pPr>
    <w:rPr>
      <w:sz w:val="20"/>
    </w:rPr>
  </w:style>
  <w:style w:type="paragraph" w:styleId="726">
    <w:name w:val="toc 1"/>
    <w:basedOn w:val="677"/>
    <w:next w:val="677"/>
    <w:uiPriority w:val="39"/>
    <w:unhideWhenUsed/>
    <w:pPr>
      <w:spacing w:after="57"/>
    </w:pPr>
  </w:style>
  <w:style w:type="paragraph" w:styleId="727">
    <w:name w:val="toc 2"/>
    <w:basedOn w:val="677"/>
    <w:next w:val="677"/>
    <w:uiPriority w:val="39"/>
    <w:unhideWhenUsed/>
    <w:pPr>
      <w:ind w:left="283"/>
      <w:spacing w:after="57"/>
    </w:pPr>
  </w:style>
  <w:style w:type="paragraph" w:styleId="728">
    <w:name w:val="toc 3"/>
    <w:basedOn w:val="677"/>
    <w:next w:val="677"/>
    <w:uiPriority w:val="39"/>
    <w:unhideWhenUsed/>
    <w:pPr>
      <w:ind w:left="567"/>
      <w:spacing w:after="57"/>
    </w:pPr>
  </w:style>
  <w:style w:type="paragraph" w:styleId="729">
    <w:name w:val="toc 4"/>
    <w:basedOn w:val="677"/>
    <w:next w:val="677"/>
    <w:uiPriority w:val="39"/>
    <w:unhideWhenUsed/>
    <w:pPr>
      <w:ind w:left="850"/>
      <w:spacing w:after="57"/>
    </w:pPr>
  </w:style>
  <w:style w:type="paragraph" w:styleId="730">
    <w:name w:val="toc 5"/>
    <w:basedOn w:val="677"/>
    <w:next w:val="677"/>
    <w:uiPriority w:val="39"/>
    <w:unhideWhenUsed/>
    <w:pPr>
      <w:ind w:left="1134"/>
      <w:spacing w:after="57"/>
    </w:pPr>
  </w:style>
  <w:style w:type="paragraph" w:styleId="731">
    <w:name w:val="toc 6"/>
    <w:basedOn w:val="677"/>
    <w:next w:val="677"/>
    <w:uiPriority w:val="39"/>
    <w:unhideWhenUsed/>
    <w:pPr>
      <w:ind w:left="1417"/>
      <w:spacing w:after="57"/>
    </w:pPr>
  </w:style>
  <w:style w:type="paragraph" w:styleId="732">
    <w:name w:val="toc 7"/>
    <w:basedOn w:val="677"/>
    <w:next w:val="677"/>
    <w:uiPriority w:val="39"/>
    <w:unhideWhenUsed/>
    <w:pPr>
      <w:ind w:left="1701"/>
      <w:spacing w:after="57"/>
    </w:pPr>
  </w:style>
  <w:style w:type="paragraph" w:styleId="733">
    <w:name w:val="toc 8"/>
    <w:basedOn w:val="677"/>
    <w:next w:val="677"/>
    <w:uiPriority w:val="39"/>
    <w:unhideWhenUsed/>
    <w:pPr>
      <w:ind w:left="1984"/>
      <w:spacing w:after="57"/>
    </w:pPr>
  </w:style>
  <w:style w:type="paragraph" w:styleId="734">
    <w:name w:val="toc 9"/>
    <w:basedOn w:val="677"/>
    <w:next w:val="677"/>
    <w:uiPriority w:val="39"/>
    <w:unhideWhenUsed/>
    <w:pPr>
      <w:ind w:left="2268"/>
      <w:spacing w:after="57"/>
    </w:pPr>
  </w:style>
  <w:style w:type="paragraph" w:styleId="735">
    <w:name w:val="TOC Heading"/>
    <w:uiPriority w:val="39"/>
    <w:unhideWhenUsed/>
    <w:pPr>
      <w:spacing w:after="200" w:line="276" w:lineRule="auto"/>
    </w:pPr>
  </w:style>
  <w:style w:type="paragraph" w:styleId="736">
    <w:name w:val="table of figures"/>
    <w:basedOn w:val="677"/>
    <w:next w:val="677"/>
    <w:uiPriority w:val="99"/>
    <w:unhideWhenUsed/>
    <w:qFormat/>
    <w:pPr>
      <w:spacing w:after="0"/>
    </w:pPr>
  </w:style>
  <w:style w:type="paragraph" w:styleId="737">
    <w:name w:val="No Spacing"/>
    <w:basedOn w:val="677"/>
    <w:uiPriority w:val="1"/>
    <w:qFormat/>
    <w:pPr>
      <w:spacing w:after="0" w:line="240" w:lineRule="auto"/>
    </w:pPr>
  </w:style>
  <w:style w:type="paragraph" w:styleId="738">
    <w:name w:val="List Paragraph"/>
    <w:basedOn w:val="677"/>
    <w:uiPriority w:val="34"/>
    <w:qFormat/>
    <w:pPr>
      <w:contextualSpacing/>
      <w:ind w:left="720"/>
    </w:pPr>
  </w:style>
  <w:style w:type="paragraph" w:styleId="739" w:customStyle="1">
    <w:name w:val="Table Paragraph"/>
    <w:uiPriority w:val="1"/>
    <w:qFormat/>
    <w:pPr>
      <w:ind w:left="84"/>
      <w:spacing w:before="55"/>
      <w:widowControl w:val="off"/>
    </w:pPr>
    <w:rPr>
      <w:rFonts w:ascii="Times New Roman" w:hAnsi="Times New Roman" w:eastAsia="Times New Roman" w:cs="Times New Roman"/>
    </w:rPr>
  </w:style>
  <w:style w:type="table" w:styleId="740">
    <w:name w:val="Table Grid"/>
    <w:basedOn w:val="68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1" w:customStyle="1">
    <w:name w:val="Table Grid Light"/>
    <w:basedOn w:val="68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2">
    <w:name w:val="Plain Table 1"/>
    <w:basedOn w:val="68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43">
    <w:name w:val="Plain Table 2"/>
    <w:basedOn w:val="68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44">
    <w:name w:val="Plain Table 3"/>
    <w:basedOn w:val="68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5">
    <w:name w:val="Plain Table 4"/>
    <w:basedOn w:val="68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Plain Table 5"/>
    <w:basedOn w:val="68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7">
    <w:name w:val="Grid Table 1 Light"/>
    <w:basedOn w:val="68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1"/>
    <w:basedOn w:val="688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2"/>
    <w:basedOn w:val="68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3"/>
    <w:basedOn w:val="68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4"/>
    <w:basedOn w:val="68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5"/>
    <w:basedOn w:val="688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6"/>
    <w:basedOn w:val="68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2"/>
    <w:basedOn w:val="68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1"/>
    <w:basedOn w:val="688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2"/>
    <w:basedOn w:val="68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3"/>
    <w:basedOn w:val="68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4"/>
    <w:basedOn w:val="68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5"/>
    <w:basedOn w:val="688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6"/>
    <w:basedOn w:val="68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"/>
    <w:basedOn w:val="68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1"/>
    <w:basedOn w:val="688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2"/>
    <w:basedOn w:val="68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3"/>
    <w:basedOn w:val="68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4"/>
    <w:basedOn w:val="68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5"/>
    <w:basedOn w:val="688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6"/>
    <w:basedOn w:val="68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4"/>
    <w:basedOn w:val="68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9" w:customStyle="1">
    <w:name w:val="Grid Table 4 - Accent 1"/>
    <w:basedOn w:val="688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eebf6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68a2d8" w:themeFill="accent1" w:themeFillTint="EA"/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</w:tcBorders>
      </w:tcPr>
    </w:tblStylePr>
  </w:style>
  <w:style w:type="table" w:styleId="770" w:customStyle="1">
    <w:name w:val="Grid Table 4 - Accent 2"/>
    <w:basedOn w:val="688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4b184" w:themeFill="accent2" w:themeFillTint="97"/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</w:tcBorders>
      </w:tcPr>
    </w:tblStylePr>
  </w:style>
  <w:style w:type="table" w:styleId="771" w:customStyle="1">
    <w:name w:val="Grid Table 4 - Accent 3"/>
    <w:basedOn w:val="688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772" w:customStyle="1">
    <w:name w:val="Grid Table 4 - Accent 4"/>
    <w:basedOn w:val="688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d865" w:themeFill="accent4" w:themeFillTint="9A"/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</w:tcBorders>
      </w:tcPr>
    </w:tblStylePr>
  </w:style>
  <w:style w:type="table" w:styleId="773" w:customStyle="1">
    <w:name w:val="Grid Table 4 - Accent 5"/>
    <w:basedOn w:val="688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74" w:customStyle="1">
    <w:name w:val="Grid Table 4 - Accent 6"/>
    <w:basedOn w:val="688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75">
    <w:name w:val="Grid Table 5 Dark"/>
    <w:basedOn w:val="68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- Accent 1"/>
    <w:basedOn w:val="68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b3d0eb" w:themeFill="accent1" w:themeFillTint="75"/>
      </w:tcPr>
    </w:tblStylePr>
    <w:tblStylePr w:type="band1Vert">
      <w:tcPr>
        <w:shd w:val="clear" w:color="ffffff" w:fill="b3d0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5b9bd5" w:themeFill="accent1"/>
      </w:tc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ffffff"/>
        <w:sz w:val="22"/>
      </w:rPr>
      <w:tcPr>
        <w:shd w:val="clear" w:color="ffffff" w:fill="5b9bd5" w:themeFill="accent1"/>
      </w:tcPr>
    </w:tblStylePr>
    <w:tblStylePr w:type="lastRow">
      <w:rPr>
        <w:b/>
        <w:color w:val="ffffff"/>
        <w:sz w:val="22"/>
      </w:rPr>
      <w:tcPr>
        <w:shd w:val="clear" w:color="ffffff" w:fill="5b9bd5" w:themeFill="accent1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2"/>
    <w:basedOn w:val="68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6c3a0" w:themeFill="accent2" w:themeFillTint="75"/>
      </w:tcPr>
    </w:tblStylePr>
    <w:tblStylePr w:type="band1Vert">
      <w:tcPr>
        <w:shd w:val="clear" w:color="ffffff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cPr>
        <w:shd w:val="clear" w:color="ffffff" w:fill="ed7d31" w:themeFill="accent2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3"/>
    <w:basedOn w:val="68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d5d5d5" w:themeFill="accent3" w:themeFillTint="75"/>
      </w:tcPr>
    </w:tblStylePr>
    <w:tblStylePr w:type="band1Vert">
      <w:tcPr>
        <w:shd w:val="clear" w:color="ffffff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cPr>
        <w:shd w:val="clear" w:color="ffffff" w:fill="a5a5a5" w:themeFill="accent3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- Accent 4"/>
    <w:basedOn w:val="68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fe28a" w:themeFill="accent4" w:themeFillTint="75"/>
      </w:tcPr>
    </w:tblStylePr>
    <w:tblStylePr w:type="band1Vert">
      <w:tcPr>
        <w:shd w:val="clear" w:color="ffffff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cPr>
        <w:shd w:val="clear" w:color="ffffff" w:fill="ffc000" w:themeFill="accent4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5"/>
    <w:basedOn w:val="68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a9bee4" w:themeFill="accent5" w:themeFillTint="75"/>
      </w:tcPr>
    </w:tblStylePr>
    <w:tblStylePr w:type="band1Vert">
      <w:tcPr>
        <w:shd w:val="clear" w:color="ffffff" w:fill="a9be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472c4" w:themeFill="accent5"/>
      </w:tcPr>
    </w:tblStylePr>
    <w:tblStylePr w:type="firstRow">
      <w:rPr>
        <w:b/>
        <w:color w:val="ffffff"/>
        <w:sz w:val="22"/>
      </w:rPr>
      <w:tcPr>
        <w:shd w:val="clear" w:color="ffffff" w:fill="4472c4" w:themeFill="accent5"/>
      </w:tcPr>
    </w:tblStylePr>
    <w:tblStylePr w:type="lastCol">
      <w:rPr>
        <w:b/>
        <w:color w:val="ffffff"/>
        <w:sz w:val="22"/>
      </w:rPr>
      <w:tcPr>
        <w:shd w:val="clear" w:color="ffffff" w:fill="4472c4" w:themeFill="accent5"/>
      </w:tcPr>
    </w:tblStylePr>
    <w:tblStylePr w:type="lastRow">
      <w:rPr>
        <w:b/>
        <w:color w:val="ffffff"/>
        <w:sz w:val="22"/>
      </w:rPr>
      <w:tcPr>
        <w:shd w:val="clear" w:color="ffffff" w:fill="4472c4" w:themeFill="accent5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6"/>
    <w:basedOn w:val="68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bcdba8" w:themeFill="accent6" w:themeFillTint="75"/>
      </w:tcPr>
    </w:tblStylePr>
    <w:tblStylePr w:type="band1Vert">
      <w:tcPr>
        <w:shd w:val="clear" w:color="ffffff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cPr>
        <w:shd w:val="clear" w:color="ffffff" w:fill="70ad47" w:themeFill="accent6"/>
        <w:tcBorders>
          <w:top w:val="single" w:color="FFFFFF" w:themeColor="light1" w:sz="4" w:space="0"/>
        </w:tcBorders>
      </w:tcPr>
    </w:tblStylePr>
  </w:style>
  <w:style w:type="table" w:styleId="782">
    <w:name w:val="Grid Table 6 Colorful"/>
    <w:basedOn w:val="68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3" w:customStyle="1">
    <w:name w:val="Grid Table 6 Colorful - Accent 1"/>
    <w:basedOn w:val="688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ffffff" w:fill="ddeaf6" w:themeFill="accent1" w:themeFillTint="34"/>
      </w:tcPr>
    </w:tblStylePr>
    <w:tblStylePr w:type="band1Vert"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84" w:customStyle="1">
    <w:name w:val="Grid Table 6 Colorful - Accent 2"/>
    <w:basedOn w:val="68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85" w:customStyle="1">
    <w:name w:val="Grid Table 6 Colorful - Accent 3"/>
    <w:basedOn w:val="688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ffffff" w:fill="ececec" w:themeFill="accent3" w:themeFillTint="34"/>
      </w:tcPr>
    </w:tblStylePr>
    <w:tblStylePr w:type="band1Vert"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6" w:customStyle="1">
    <w:name w:val="Grid Table 6 Colorful - Accent 4"/>
    <w:basedOn w:val="68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fff" w:fill="fff2cb" w:themeFill="accent4" w:themeFillTint="34"/>
      </w:tcPr>
    </w:tblStylePr>
    <w:tblStylePr w:type="band1Vert"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87" w:customStyle="1">
    <w:name w:val="Grid Table 6 Colorful - Accent 5"/>
    <w:basedOn w:val="688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ffffff" w:fill="d8e2f3" w:themeFill="accent5" w:themeFillTint="34"/>
      </w:tcPr>
    </w:tblStylePr>
    <w:tblStylePr w:type="band1Vert"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8" w:customStyle="1">
    <w:name w:val="Grid Table 6 Colorful - Accent 6"/>
    <w:basedOn w:val="688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ffffff" w:fill="e1efd8" w:themeFill="accent6" w:themeFillTint="34"/>
      </w:tcPr>
    </w:tblStylePr>
    <w:tblStylePr w:type="band1Vert"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9">
    <w:name w:val="Grid Table 7 Colorful"/>
    <w:basedOn w:val="68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1"/>
    <w:basedOn w:val="688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ffffff" w:fill="ddeaf6" w:themeFill="accent1" w:themeFillTint="34"/>
      </w:tcPr>
    </w:tblStylePr>
    <w:tblStylePr w:type="band1Vert"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2"/>
    <w:basedOn w:val="688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3"/>
    <w:basedOn w:val="688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ffffff" w:fill="ececec" w:themeFill="accent3" w:themeFillTint="34"/>
      </w:tcPr>
    </w:tblStylePr>
    <w:tblStylePr w:type="band1Vert"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4"/>
    <w:basedOn w:val="688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fff" w:fill="fff2cb" w:themeFill="accent4" w:themeFillTint="34"/>
      </w:tcPr>
    </w:tblStylePr>
    <w:tblStylePr w:type="band1Vert"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5"/>
    <w:basedOn w:val="688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ffffff" w:fill="d8e2f3" w:themeFill="accent5" w:themeFillTint="34"/>
      </w:tcPr>
    </w:tblStylePr>
    <w:tblStylePr w:type="band1Vert"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6"/>
    <w:basedOn w:val="688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ffffff" w:fill="e1efd8" w:themeFill="accent6" w:themeFillTint="34"/>
      </w:tcPr>
    </w:tblStylePr>
    <w:tblStylePr w:type="band1Vert"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"/>
    <w:basedOn w:val="688"/>
    <w:uiPriority w:val="99"/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1"/>
    <w:basedOn w:val="688"/>
    <w:uiPriority w:val="99"/>
    <w:tblPr>
      <w:tblStyleRowBandSize w:val="1"/>
      <w:tblStyleColBandSize w:val="1"/>
    </w:tblPr>
    <w:tblStylePr w:type="band1Horz">
      <w:tcPr>
        <w:shd w:val="clear" w:color="ffffff" w:fill="d5e5f4" w:themeFill="accent1" w:themeFillTint="40"/>
      </w:tcPr>
    </w:tblStylePr>
    <w:tblStylePr w:type="band1Vert">
      <w:tcPr>
        <w:shd w:val="clear" w:color="ffffff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2"/>
    <w:basedOn w:val="688"/>
    <w:uiPriority w:val="99"/>
    <w:tblPr>
      <w:tblStyleRowBandSize w:val="1"/>
      <w:tblStyleColBandSize w:val="1"/>
    </w:tblPr>
    <w:tblStylePr w:type="band1Horz"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3"/>
    <w:basedOn w:val="688"/>
    <w:uiPriority w:val="99"/>
    <w:tblPr>
      <w:tblStyleRowBandSize w:val="1"/>
      <w:tblStyleColBandSize w:val="1"/>
    </w:tblPr>
    <w:tblStylePr w:type="band1Horz"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4"/>
    <w:basedOn w:val="688"/>
    <w:uiPriority w:val="99"/>
    <w:tblPr>
      <w:tblStyleRowBandSize w:val="1"/>
      <w:tblStyleColBandSize w:val="1"/>
    </w:tblPr>
    <w:tblStylePr w:type="band1Horz"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5"/>
    <w:basedOn w:val="688"/>
    <w:uiPriority w:val="99"/>
    <w:tblPr>
      <w:tblStyleRowBandSize w:val="1"/>
      <w:tblStyleColBandSize w:val="1"/>
    </w:tblPr>
    <w:tblStylePr w:type="band1Horz">
      <w:tcPr>
        <w:shd w:val="clear" w:color="ffffff" w:fill="cfdbf0" w:themeFill="accent5" w:themeFillTint="40"/>
      </w:tcPr>
    </w:tblStylePr>
    <w:tblStylePr w:type="band1Vert">
      <w:tcPr>
        <w:shd w:val="clear" w:color="ffffff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6"/>
    <w:basedOn w:val="688"/>
    <w:uiPriority w:val="99"/>
    <w:tblPr>
      <w:tblStyleRowBandSize w:val="1"/>
      <w:tblStyleColBandSize w:val="1"/>
    </w:tblPr>
    <w:tblStylePr w:type="band1Horz">
      <w:tcPr>
        <w:shd w:val="clear" w:color="ffffff" w:fill="daebcf" w:themeFill="accent6" w:themeFillTint="40"/>
      </w:tcPr>
    </w:tblStylePr>
    <w:tblStylePr w:type="band1Vert">
      <w:tcPr>
        <w:shd w:val="clear" w:color="fffff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2"/>
    <w:basedOn w:val="68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04" w:customStyle="1">
    <w:name w:val="List Table 2 - Accent 1"/>
    <w:basedOn w:val="688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5e5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</w:style>
  <w:style w:type="table" w:styleId="805" w:customStyle="1">
    <w:name w:val="List Table 2 - Accent 2"/>
    <w:basedOn w:val="688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</w:style>
  <w:style w:type="table" w:styleId="806" w:customStyle="1">
    <w:name w:val="List Table 2 - Accent 3"/>
    <w:basedOn w:val="688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</w:style>
  <w:style w:type="table" w:styleId="807" w:customStyle="1">
    <w:name w:val="List Table 2 - Accent 4"/>
    <w:basedOn w:val="688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</w:style>
  <w:style w:type="table" w:styleId="808" w:customStyle="1">
    <w:name w:val="List Table 2 - Accent 5"/>
    <w:basedOn w:val="688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cfdb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</w:style>
  <w:style w:type="table" w:styleId="809" w:customStyle="1">
    <w:name w:val="List Table 2 - Accent 6"/>
    <w:basedOn w:val="688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</w:style>
  <w:style w:type="table" w:styleId="810">
    <w:name w:val="List Table 3"/>
    <w:basedOn w:val="68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1"/>
    <w:basedOn w:val="688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2"/>
    <w:basedOn w:val="68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3"/>
    <w:basedOn w:val="688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4"/>
    <w:basedOn w:val="68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5"/>
    <w:basedOn w:val="688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6"/>
    <w:basedOn w:val="688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"/>
    <w:basedOn w:val="68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1"/>
    <w:basedOn w:val="688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2"/>
    <w:basedOn w:val="688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3"/>
    <w:basedOn w:val="688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4"/>
    <w:basedOn w:val="688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5"/>
    <w:basedOn w:val="688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6"/>
    <w:basedOn w:val="688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5 Dark"/>
    <w:basedOn w:val="68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5" w:customStyle="1">
    <w:name w:val="List Table 5 Dark - Accent 1"/>
    <w:basedOn w:val="688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ffffff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6" w:customStyle="1">
    <w:name w:val="List Table 5 Dark - Accent 2"/>
    <w:basedOn w:val="688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fffff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4b184" w:themeFill="accent2" w:themeFillTint="97"/>
        <w:tcBorders>
          <w:top w:val="single" w:color="ED7D31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7" w:customStyle="1">
    <w:name w:val="List Table 5 Dark - Accent 3"/>
    <w:basedOn w:val="688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ffffff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9c9c9" w:themeFill="accent3" w:themeFillTint="98"/>
        <w:tcBorders>
          <w:top w:val="single" w:color="A5A5A5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8" w:customStyle="1">
    <w:name w:val="List Table 5 Dark - Accent 4"/>
    <w:basedOn w:val="688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ffff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d865" w:themeFill="accent4" w:themeFillTint="9A"/>
        <w:tcBorders>
          <w:top w:val="single" w:color="FFC000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9" w:customStyle="1">
    <w:name w:val="List Table 5 Dark - Accent 5"/>
    <w:basedOn w:val="688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ffffff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8da9db" w:themeFill="accent5" w:themeFillTint="9A"/>
        <w:tcBorders>
          <w:top w:val="single" w:color="4472C4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0" w:customStyle="1">
    <w:name w:val="List Table 5 Dark - Accent 6"/>
    <w:basedOn w:val="688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ffffff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a9d08e" w:themeFill="accent6" w:themeFillTint="98"/>
        <w:tcBorders>
          <w:top w:val="single" w:color="70AD47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1">
    <w:name w:val="List Table 6 Colorful"/>
    <w:basedOn w:val="68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32" w:customStyle="1">
    <w:name w:val="List Table 6 Colorful - Accent 1"/>
    <w:basedOn w:val="688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ffffff" w:fill="d5e5f4" w:themeFill="accent1" w:themeFillTint="40"/>
      </w:tcPr>
    </w:tblStylePr>
    <w:tblStylePr w:type="band1Vert"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3" w:customStyle="1">
    <w:name w:val="List Table 6 Colorful - Accent 2"/>
    <w:basedOn w:val="688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ED7D31" w:themeColor="accent2" w:sz="4" w:space="0"/>
        </w:tcBorders>
      </w:tcPr>
    </w:tblStylePr>
  </w:style>
  <w:style w:type="table" w:styleId="834" w:customStyle="1">
    <w:name w:val="List Table 6 Colorful - Accent 3"/>
    <w:basedOn w:val="688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A5A5A5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A5A5A5" w:themeColor="accent3" w:sz="4" w:space="0"/>
        </w:tcBorders>
      </w:tcPr>
    </w:tblStylePr>
  </w:style>
  <w:style w:type="table" w:styleId="835" w:customStyle="1">
    <w:name w:val="List Table 6 Colorful - Accent 4"/>
    <w:basedOn w:val="688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C000" w:themeColor="accent4" w:sz="4" w:space="0"/>
        </w:tcBorders>
      </w:tcPr>
    </w:tblStylePr>
  </w:style>
  <w:style w:type="table" w:styleId="836" w:customStyle="1">
    <w:name w:val="List Table 6 Colorful - Accent 5"/>
    <w:basedOn w:val="688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ffffff" w:fill="cfdbf0" w:themeFill="accent5" w:themeFillTint="40"/>
      </w:tcPr>
    </w:tblStylePr>
    <w:tblStylePr w:type="band1Vert"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4472C4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4472C4" w:themeColor="accent5" w:sz="4" w:space="0"/>
        </w:tcBorders>
      </w:tcPr>
    </w:tblStylePr>
  </w:style>
  <w:style w:type="table" w:styleId="837" w:customStyle="1">
    <w:name w:val="List Table 6 Colorful - Accent 6"/>
    <w:basedOn w:val="688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ffffff" w:fill="daebcf" w:themeFill="accent6" w:themeFillTint="40"/>
      </w:tcPr>
    </w:tblStylePr>
    <w:tblStylePr w:type="band1Vert"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70AD47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70AD47" w:themeColor="accent6" w:sz="4" w:space="0"/>
        </w:tcBorders>
      </w:tcPr>
    </w:tblStylePr>
  </w:style>
  <w:style w:type="table" w:styleId="838">
    <w:name w:val="List Table 7 Colorful"/>
    <w:basedOn w:val="68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1"/>
    <w:basedOn w:val="688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ffffff" w:fill="d5e5f4" w:themeFill="accent1" w:themeFillTint="40"/>
      </w:tcPr>
    </w:tblStylePr>
    <w:tblStylePr w:type="band1Vert"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2"/>
    <w:basedOn w:val="688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3"/>
    <w:basedOn w:val="688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4"/>
    <w:basedOn w:val="688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5"/>
    <w:basedOn w:val="688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ffffff" w:fill="cfdbf0" w:themeFill="accent5" w:themeFillTint="40"/>
      </w:tcPr>
    </w:tblStylePr>
    <w:tblStylePr w:type="band1Vert"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6"/>
    <w:basedOn w:val="688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ffffff" w:fill="daebcf" w:themeFill="accent6" w:themeFillTint="40"/>
      </w:tcPr>
    </w:tblStylePr>
    <w:tblStylePr w:type="band1Vert"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ned - Accent"/>
    <w:basedOn w:val="68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46" w:customStyle="1">
    <w:name w:val="Lined - Accent 1"/>
    <w:basedOn w:val="68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bdff1" w:themeFill="accent1" w:themeFillTint="50"/>
      </w:tcPr>
    </w:tblStylePr>
    <w:tblStylePr w:type="firstCol">
      <w:rPr>
        <w:color w:val="f2f2f2"/>
        <w:sz w:val="22"/>
      </w:rPr>
      <w:tcPr>
        <w:shd w:val="clear" w:color="ffffff" w:fill="68a2d8" w:themeFill="accent1" w:themeFillTint="EA"/>
      </w:tcPr>
    </w:tblStylePr>
    <w:tblStylePr w:type="firstRow">
      <w:rPr>
        <w:color w:val="f2f2f2"/>
        <w:sz w:val="22"/>
      </w:rPr>
      <w:tcPr>
        <w:shd w:val="clear" w:color="ffffff" w:fill="68a2d8" w:themeFill="accent1" w:themeFillTint="EA"/>
      </w:tcPr>
    </w:tblStylePr>
    <w:tblStylePr w:type="lastCol">
      <w:rPr>
        <w:color w:val="f2f2f2"/>
        <w:sz w:val="22"/>
      </w:rPr>
      <w:tcPr>
        <w:shd w:val="clear" w:color="ffffff" w:fill="68a2d8" w:themeFill="accent1" w:themeFillTint="EA"/>
      </w:tcPr>
    </w:tblStylePr>
    <w:tblStylePr w:type="lastRow">
      <w:rPr>
        <w:color w:val="f2f2f2"/>
        <w:sz w:val="22"/>
      </w:rPr>
      <w:tcPr>
        <w:shd w:val="clear" w:color="ffffff" w:fill="68a2d8" w:themeFill="accent1" w:themeFillTint="EA"/>
      </w:tcPr>
    </w:tblStylePr>
  </w:style>
  <w:style w:type="table" w:styleId="847" w:customStyle="1">
    <w:name w:val="Lined - Accent 2"/>
    <w:basedOn w:val="68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cPr>
        <w:shd w:val="clear" w:color="ffffff" w:fill="f4b184" w:themeFill="accent2" w:themeFillTint="97"/>
      </w:tcPr>
    </w:tblStylePr>
  </w:style>
  <w:style w:type="table" w:styleId="848" w:customStyle="1">
    <w:name w:val="Lined - Accent 3"/>
    <w:basedOn w:val="68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cecec" w:themeFill="accent3" w:themeFillTint="34"/>
      </w:tcPr>
    </w:tblStylePr>
    <w:tblStylePr w:type="fir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cPr>
        <w:shd w:val="clear" w:color="ffffff" w:fill="a5a5a5" w:themeFill="accent3" w:themeFillTint="FE"/>
      </w:tcPr>
    </w:tblStylePr>
  </w:style>
  <w:style w:type="table" w:styleId="849" w:customStyle="1">
    <w:name w:val="Lined - Accent 4"/>
    <w:basedOn w:val="68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d865" w:themeFill="accent4" w:themeFillTint="9A"/>
      </w:tcPr>
    </w:tblStylePr>
  </w:style>
  <w:style w:type="table" w:styleId="850" w:customStyle="1">
    <w:name w:val="Lined - Accent 5"/>
    <w:basedOn w:val="68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8e2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472c4" w:themeFill="accent5"/>
      </w:tcPr>
    </w:tblStylePr>
    <w:tblStylePr w:type="firstRow">
      <w:rPr>
        <w:color w:val="f2f2f2"/>
        <w:sz w:val="22"/>
      </w:rPr>
      <w:tcPr>
        <w:shd w:val="clear" w:color="ffffff" w:fill="4472c4" w:themeFill="accent5"/>
      </w:tcPr>
    </w:tblStylePr>
    <w:tblStylePr w:type="lastCol">
      <w:rPr>
        <w:color w:val="f2f2f2"/>
        <w:sz w:val="22"/>
      </w:rPr>
      <w:tcPr>
        <w:shd w:val="clear" w:color="ffffff" w:fill="4472c4" w:themeFill="accent5"/>
      </w:tcPr>
    </w:tblStylePr>
    <w:tblStylePr w:type="lastRow">
      <w:rPr>
        <w:color w:val="f2f2f2"/>
        <w:sz w:val="22"/>
      </w:rPr>
      <w:tcPr>
        <w:shd w:val="clear" w:color="ffffff" w:fill="4472c4" w:themeFill="accent5"/>
      </w:tcPr>
    </w:tblStylePr>
  </w:style>
  <w:style w:type="table" w:styleId="851" w:customStyle="1">
    <w:name w:val="Lined - Accent 6"/>
    <w:basedOn w:val="68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e1ef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70ad47" w:themeFill="accent6"/>
      </w:tcPr>
    </w:tblStylePr>
    <w:tblStylePr w:type="firstRow">
      <w:rPr>
        <w:color w:val="f2f2f2"/>
        <w:sz w:val="22"/>
      </w:rPr>
      <w:tcPr>
        <w:shd w:val="clear" w:color="ffffff" w:fill="70ad47" w:themeFill="accent6"/>
      </w:tcPr>
    </w:tblStylePr>
    <w:tblStylePr w:type="lastCol">
      <w:rPr>
        <w:color w:val="f2f2f2"/>
        <w:sz w:val="22"/>
      </w:rPr>
      <w:tcPr>
        <w:shd w:val="clear" w:color="ffffff" w:fill="70ad47" w:themeFill="accent6"/>
      </w:tcPr>
    </w:tblStylePr>
    <w:tblStylePr w:type="lastRow">
      <w:rPr>
        <w:color w:val="f2f2f2"/>
        <w:sz w:val="22"/>
      </w:rPr>
      <w:tcPr>
        <w:shd w:val="clear" w:color="ffffff" w:fill="70ad47" w:themeFill="accent6"/>
      </w:tcPr>
    </w:tblStylePr>
  </w:style>
  <w:style w:type="table" w:styleId="852" w:customStyle="1">
    <w:name w:val="Bordered &amp; Lined - Accent"/>
    <w:basedOn w:val="68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53" w:customStyle="1">
    <w:name w:val="Bordered &amp; Lined - Accent 1"/>
    <w:basedOn w:val="68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bdff1" w:themeFill="accent1" w:themeFillTint="50"/>
      </w:tcPr>
    </w:tblStylePr>
    <w:tblStylePr w:type="firstCol">
      <w:rPr>
        <w:color w:val="f2f2f2"/>
        <w:sz w:val="22"/>
      </w:rPr>
      <w:tcPr>
        <w:shd w:val="clear" w:color="ffffff" w:fill="68a2d8" w:themeFill="accent1" w:themeFillTint="EA"/>
      </w:tcPr>
    </w:tblStylePr>
    <w:tblStylePr w:type="firstRow">
      <w:rPr>
        <w:color w:val="f2f2f2"/>
        <w:sz w:val="22"/>
      </w:rPr>
      <w:tcPr>
        <w:shd w:val="clear" w:color="ffffff" w:fill="68a2d8" w:themeFill="accent1" w:themeFillTint="EA"/>
      </w:tcPr>
    </w:tblStylePr>
    <w:tblStylePr w:type="lastCol">
      <w:rPr>
        <w:color w:val="f2f2f2"/>
        <w:sz w:val="22"/>
      </w:rPr>
      <w:tcPr>
        <w:shd w:val="clear" w:color="ffffff" w:fill="68a2d8" w:themeFill="accent1" w:themeFillTint="EA"/>
      </w:tcPr>
    </w:tblStylePr>
    <w:tblStylePr w:type="lastRow">
      <w:rPr>
        <w:color w:val="f2f2f2"/>
        <w:sz w:val="22"/>
      </w:rPr>
      <w:tcPr>
        <w:shd w:val="clear" w:color="ffffff" w:fill="68a2d8" w:themeFill="accent1" w:themeFillTint="EA"/>
      </w:tcPr>
    </w:tblStylePr>
  </w:style>
  <w:style w:type="table" w:styleId="854" w:customStyle="1">
    <w:name w:val="Bordered &amp; Lined - Accent 2"/>
    <w:basedOn w:val="68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cPr>
        <w:shd w:val="clear" w:color="ffffff" w:fill="f4b184" w:themeFill="accent2" w:themeFillTint="97"/>
      </w:tcPr>
    </w:tblStylePr>
  </w:style>
  <w:style w:type="table" w:styleId="855" w:customStyle="1">
    <w:name w:val="Bordered &amp; Lined - Accent 3"/>
    <w:basedOn w:val="68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cecec" w:themeFill="accent3" w:themeFillTint="34"/>
      </w:tcPr>
    </w:tblStylePr>
    <w:tblStylePr w:type="fir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cPr>
        <w:shd w:val="clear" w:color="ffffff" w:fill="a5a5a5" w:themeFill="accent3" w:themeFillTint="FE"/>
      </w:tcPr>
    </w:tblStylePr>
  </w:style>
  <w:style w:type="table" w:styleId="856" w:customStyle="1">
    <w:name w:val="Bordered &amp; Lined - Accent 4"/>
    <w:basedOn w:val="68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d865" w:themeFill="accent4" w:themeFillTint="9A"/>
      </w:tcPr>
    </w:tblStylePr>
  </w:style>
  <w:style w:type="table" w:styleId="857" w:customStyle="1">
    <w:name w:val="Bordered &amp; Lined - Accent 5"/>
    <w:basedOn w:val="68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8e2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472c4" w:themeFill="accent5"/>
      </w:tcPr>
    </w:tblStylePr>
    <w:tblStylePr w:type="firstRow">
      <w:rPr>
        <w:color w:val="f2f2f2"/>
        <w:sz w:val="22"/>
      </w:rPr>
      <w:tcPr>
        <w:shd w:val="clear" w:color="ffffff" w:fill="4472c4" w:themeFill="accent5"/>
      </w:tcPr>
    </w:tblStylePr>
    <w:tblStylePr w:type="lastCol">
      <w:rPr>
        <w:color w:val="f2f2f2"/>
        <w:sz w:val="22"/>
      </w:rPr>
      <w:tcPr>
        <w:shd w:val="clear" w:color="ffffff" w:fill="4472c4" w:themeFill="accent5"/>
      </w:tcPr>
    </w:tblStylePr>
    <w:tblStylePr w:type="lastRow">
      <w:rPr>
        <w:color w:val="f2f2f2"/>
        <w:sz w:val="22"/>
      </w:rPr>
      <w:tcPr>
        <w:shd w:val="clear" w:color="ffffff" w:fill="4472c4" w:themeFill="accent5"/>
      </w:tcPr>
    </w:tblStylePr>
  </w:style>
  <w:style w:type="table" w:styleId="858" w:customStyle="1">
    <w:name w:val="Bordered &amp; Lined - Accent 6"/>
    <w:basedOn w:val="68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e1ef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70ad47" w:themeFill="accent6"/>
      </w:tcPr>
    </w:tblStylePr>
    <w:tblStylePr w:type="firstRow">
      <w:rPr>
        <w:color w:val="f2f2f2"/>
        <w:sz w:val="22"/>
      </w:rPr>
      <w:tcPr>
        <w:shd w:val="clear" w:color="ffffff" w:fill="70ad47" w:themeFill="accent6"/>
      </w:tcPr>
    </w:tblStylePr>
    <w:tblStylePr w:type="lastCol">
      <w:rPr>
        <w:color w:val="f2f2f2"/>
        <w:sz w:val="22"/>
      </w:rPr>
      <w:tcPr>
        <w:shd w:val="clear" w:color="ffffff" w:fill="70ad47" w:themeFill="accent6"/>
      </w:tcPr>
    </w:tblStylePr>
    <w:tblStylePr w:type="lastRow">
      <w:rPr>
        <w:color w:val="f2f2f2"/>
        <w:sz w:val="22"/>
      </w:rPr>
      <w:tcPr>
        <w:shd w:val="clear" w:color="ffffff" w:fill="70ad47" w:themeFill="accent6"/>
      </w:tcPr>
    </w:tblStylePr>
  </w:style>
  <w:style w:type="table" w:styleId="859" w:customStyle="1">
    <w:name w:val="Bordered"/>
    <w:basedOn w:val="68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60" w:customStyle="1">
    <w:name w:val="Bordered - Accent 1"/>
    <w:basedOn w:val="688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1" w:customStyle="1">
    <w:name w:val="Bordered - Accent 2"/>
    <w:basedOn w:val="68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ED7D31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ED7D31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ED7D31" w:themeColor="accent2" w:sz="12" w:space="0"/>
        </w:tcBorders>
      </w:tcPr>
    </w:tblStylePr>
  </w:style>
  <w:style w:type="table" w:styleId="862" w:customStyle="1">
    <w:name w:val="Bordered - Accent 3"/>
    <w:basedOn w:val="68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5A5A5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5A5A5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5A5A5" w:themeColor="accent3" w:sz="12" w:space="0"/>
        </w:tcBorders>
      </w:tcPr>
    </w:tblStylePr>
  </w:style>
  <w:style w:type="table" w:styleId="863" w:customStyle="1">
    <w:name w:val="Bordered - Accent 4"/>
    <w:basedOn w:val="68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C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C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C000" w:themeColor="accent4" w:sz="12" w:space="0"/>
        </w:tcBorders>
      </w:tcPr>
    </w:tblStylePr>
  </w:style>
  <w:style w:type="table" w:styleId="864" w:customStyle="1">
    <w:name w:val="Bordered - Accent 5"/>
    <w:basedOn w:val="688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472C4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472C4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472C4" w:themeColor="accent5" w:sz="12" w:space="0"/>
        </w:tcBorders>
      </w:tcPr>
    </w:tblStylePr>
  </w:style>
  <w:style w:type="table" w:styleId="865" w:customStyle="1">
    <w:name w:val="Bordered - Accent 6"/>
    <w:basedOn w:val="68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0AD47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0AD47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0AD47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32247-52C9-4890-B711-9E20E4B6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vsvo</cp:lastModifiedBy>
  <cp:revision>18</cp:revision>
  <dcterms:created xsi:type="dcterms:W3CDTF">2025-10-31T06:55:00Z</dcterms:created>
  <dcterms:modified xsi:type="dcterms:W3CDTF">2025-10-31T09:24:46Z</dcterms:modified>
</cp:coreProperties>
</file>